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Применение активных методов обучения на уроках в основной и старшей школе</w:t>
            </w:r>
          </w:p>
          <w:p>
            <w:pPr>
              <w:jc w:val="center"/>
              <w:spacing w:after="0" w:line="240" w:lineRule="auto"/>
              <w:rPr>
                <w:sz w:val="32"/>
                <w:szCs w:val="32"/>
              </w:rPr>
            </w:pPr>
            <w:r>
              <w:rPr>
                <w:rFonts w:ascii="Times New Roman" w:hAnsi="Times New Roman" w:cs="Times New Roman"/>
                <w:color w:val="#000000"/>
                <w:sz w:val="32"/>
                <w:szCs w:val="32"/>
              </w:rPr>
              <w:t> Б1.В.03.ДВ.02.01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70.56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/Арбузова Е.Н./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«Применение активных методов обучения на уроках в основной и старшей школе»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Б1.В.03.ДВ.02.01 «Применение активных методов обучения на уроках в основной и старшей школе».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«Применение активных методов обучения на уроках в основной и старшей школе»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деятельность обучающихся, направленную на развитие интереса к учебным предметам в рамках урочной и внеурочной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образовательную среду школы в целях достижения личностных, предметных и метапредметных результатов обучения средствами предмета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использовать образовательный потенциал социокультурной среды региона в преподавании предмета и во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обосновывать необходимость включения различных компонентов социокультурной среды региона в образовательный процесс</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ПК-9</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индивидуальные образовательные маршруты обучающихся по преподаваемым учебным предметам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ПК-9.1 знать  различные средства оценивания индивидуальных достижений обучающихся при изучении предмета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ПК-9.2 уметь разрабатывать индивидуально ориентированные учебные материалы по русскому языку с учетом индивидуальных особенностей обучающихся, их особых образовательных потребностей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ПК-9.3 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387.931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поводу собственной и чужой мыслительной деятельности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Б1.В.03.ДВ.02.01 «Применение активных методов обучения на уроках в основной и старшей школе» относится к обязательной части, является дисциплиной Блока Б1. «Дисциплины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Морфология</w:t>
            </w:r>
          </w:p>
          <w:p>
            <w:pPr>
              <w:jc w:val="center"/>
              <w:spacing w:after="0" w:line="240" w:lineRule="auto"/>
              <w:rPr>
                <w:sz w:val="22"/>
                <w:szCs w:val="22"/>
              </w:rPr>
            </w:pPr>
            <w:r>
              <w:rPr>
                <w:rFonts w:ascii="Times New Roman" w:hAnsi="Times New Roman" w:cs="Times New Roman"/>
                <w:color w:val="#000000"/>
                <w:sz w:val="22"/>
                <w:szCs w:val="22"/>
              </w:rPr>
              <w:t> Речевые практики</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Морфемика и словообразование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ПК-4, ПК-9</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Применение активных методов обучения в основной и старшей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обучения. Понятие об активных методах обучения. Классификация активных методов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технологии, классифи-кация педагогических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Активизация учебного процесса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интенсивных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анализа ситуаций для активного обучения</w:t>
            </w:r>
          </w:p>
          <w:p>
            <w:pPr>
              <w:jc w:val="left"/>
              <w:spacing w:after="0" w:line="240" w:lineRule="auto"/>
              <w:rPr>
                <w:sz w:val="24"/>
                <w:szCs w:val="24"/>
              </w:rPr>
            </w:pPr>
            <w:r>
              <w:rPr>
                <w:rFonts w:ascii="Times New Roman" w:hAnsi="Times New Roman" w:cs="Times New Roman"/>
                <w:color w:val="#000000"/>
                <w:sz w:val="24"/>
                <w:szCs w:val="24"/>
              </w:rPr>
              <w:t> (action learning)</w:t>
            </w:r>
          </w:p>
          <w:p>
            <w:pPr>
              <w:jc w:val="left"/>
              <w:spacing w:after="0" w:line="240" w:lineRule="auto"/>
              <w:rPr>
                <w:sz w:val="24"/>
                <w:szCs w:val="24"/>
              </w:rPr>
            </w:pPr>
            <w:r>
              <w:rPr>
                <w:rFonts w:ascii="Times New Roman" w:hAnsi="Times New Roman" w:cs="Times New Roman"/>
                <w:color w:val="#000000"/>
                <w:sz w:val="24"/>
                <w:szCs w:val="24"/>
              </w:rPr>
              <w:t> Мозговые штурмы (брейнсторминг)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Эвристические техники интенсивного генерирования идей на уроках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Характеристики и эффективность игровых интерактивных технологий в процессе обучения в основной и старшей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активного обучения в основной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интерактивного обучения на учебных занятиях в старщей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методах обучения. Активные методы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Новые технология обучения в процессе обучения русскому языку в старшей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Технологический подход и специфика его реализации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Игровые имитационные технологии на уроках русского языка в основной и старшей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анализа конкретных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анализа конкретных ситуаций («case-study» или в русской транскрипции «кейс-</w:t>
            </w:r>
          </w:p>
          <w:p>
            <w:pPr>
              <w:jc w:val="left"/>
              <w:spacing w:after="0" w:line="240" w:lineRule="auto"/>
              <w:rPr>
                <w:sz w:val="24"/>
                <w:szCs w:val="24"/>
              </w:rPr>
            </w:pPr>
            <w:r>
              <w:rPr>
                <w:rFonts w:ascii="Times New Roman" w:hAnsi="Times New Roman" w:cs="Times New Roman"/>
                <w:color w:val="#000000"/>
                <w:sz w:val="24"/>
                <w:szCs w:val="24"/>
              </w:rPr>
              <w:t> метод»)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Дидактическая игра как технология активного обучения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Активизация учебного процесса в средней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Мозговой штурм «брейнсторминг»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298.78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обучения. Понятие об активных методах обучения. Классификация активных методов обучения</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Педагогические технологии, классифи-кация педагогических технологий</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Активизация учебного процесса в школе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интенсивных технологий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анализа ситуаций для активного обучения</w:t>
            </w:r>
          </w:p>
          <w:p>
            <w:pPr>
              <w:jc w:val="center"/>
              <w:spacing w:after="0" w:line="240" w:lineRule="auto"/>
              <w:rPr>
                <w:sz w:val="24"/>
                <w:szCs w:val="24"/>
              </w:rPr>
            </w:pPr>
            <w:r>
              <w:rPr>
                <w:rFonts w:ascii="Times New Roman" w:hAnsi="Times New Roman" w:cs="Times New Roman"/>
                <w:b/>
                <w:color w:val="#000000"/>
                <w:sz w:val="24"/>
                <w:szCs w:val="24"/>
              </w:rPr>
              <w:t> (action learning)</w:t>
            </w:r>
          </w:p>
          <w:p>
            <w:pPr>
              <w:jc w:val="center"/>
              <w:spacing w:after="0" w:line="240" w:lineRule="auto"/>
              <w:rPr>
                <w:sz w:val="24"/>
                <w:szCs w:val="24"/>
              </w:rPr>
            </w:pPr>
            <w:r>
              <w:rPr>
                <w:rFonts w:ascii="Times New Roman" w:hAnsi="Times New Roman" w:cs="Times New Roman"/>
                <w:b/>
                <w:color w:val="#000000"/>
                <w:sz w:val="24"/>
                <w:szCs w:val="24"/>
              </w:rPr>
              <w:t> Мозговые штурмы (брейнсторминг) по русскому языку.</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Эвристические техники интенсивного генерирования идей на уроках русского языка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Характеристики и эффективность игровых интерактивных технологий в процессе обучения в основной и старшей школе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активного обучения в основной школе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интерактивного обучения на учебных занятиях в старщей школе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методах обучения. Активные методы обучения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Новые технология обучения в процессе обучения русскому языку в старшей школе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Технологический подход и специфика его реализации в сфере образования.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Игровые имитационные технологии на уроках русского языка в основной и старшей школе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анализа конкретных ситуаций</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анализа конкретных ситуаций («case-study» или в русской транскрипции «кейс-</w:t>
            </w:r>
          </w:p>
          <w:p>
            <w:pPr>
              <w:jc w:val="center"/>
              <w:spacing w:after="0" w:line="240" w:lineRule="auto"/>
              <w:rPr>
                <w:sz w:val="24"/>
                <w:szCs w:val="24"/>
              </w:rPr>
            </w:pPr>
            <w:r>
              <w:rPr>
                <w:rFonts w:ascii="Times New Roman" w:hAnsi="Times New Roman" w:cs="Times New Roman"/>
                <w:b/>
                <w:color w:val="#000000"/>
                <w:sz w:val="24"/>
                <w:szCs w:val="24"/>
              </w:rPr>
              <w:t> метод»)</w:t>
            </w:r>
          </w:p>
        </w:tc>
      </w:tr>
      <w:tr>
        <w:trPr>
          <w:trHeight w:hRule="exact" w:val="21.3142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Дидактическая игра как технология активного обучения школьников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Активизация учебного процесса в средней школе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Мозговой штурм «брейнсторминг»</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«Применение активных методов обучения на уроках в основной и старшей школе» / Арбузова Е.Н..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литературному</w:t>
            </w:r>
            <w:r>
              <w:rPr/>
              <w:t xml:space="preserve"> </w:t>
            </w:r>
            <w:r>
              <w:rPr>
                <w:rFonts w:ascii="Times New Roman" w:hAnsi="Times New Roman" w:cs="Times New Roman"/>
                <w:color w:val="#000000"/>
                <w:sz w:val="24"/>
                <w:szCs w:val="24"/>
              </w:rPr>
              <w:t>чтению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Афанасьева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Вачкова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Курлыгина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Леонович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Серебренникова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Трегубова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Сильченкова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978-5-534-06987-7.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https://www.biblio-online.ru/bcode/432878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активного</w:t>
            </w:r>
            <w:r>
              <w:rPr/>
              <w:t xml:space="preserve"> </w:t>
            </w:r>
            <w:r>
              <w:rPr>
                <w:rFonts w:ascii="Times New Roman" w:hAnsi="Times New Roman" w:cs="Times New Roman"/>
                <w:color w:val="#000000"/>
                <w:sz w:val="24"/>
                <w:szCs w:val="24"/>
              </w:rPr>
              <w:t>социально-психологического</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Штроо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978-5-534-02451-7.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https://www.biblio-online.ru/bcode/433007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Метапредметное</w:t>
            </w:r>
            <w:r>
              <w:rPr/>
              <w:t xml:space="preserve"> </w:t>
            </w:r>
            <w:r>
              <w:rPr>
                <w:rFonts w:ascii="Times New Roman" w:hAnsi="Times New Roman" w:cs="Times New Roman"/>
                <w:color w:val="#000000"/>
                <w:sz w:val="24"/>
                <w:szCs w:val="24"/>
              </w:rPr>
              <w:t>обучение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Дроздова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978-5-534-12611-2.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https://urait.ru/bcode/448021</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Активные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Зельдович</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Сперанская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978-5-534-11754-7.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https://urait.ru/bcode/457099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профессионально-ориентированного</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Сластенин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Образцов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Уман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Виленский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https://urait.ru/bcode/438216</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978-5-534-08189-3.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https://urait.ru/bcode/437116</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активного</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Лапыгин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978-5-534-02216-2.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https://www.biblio-online.ru/bcode/433248</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Ашанина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Васина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Ежов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Ливач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Щепинин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978-5-534-06194-9.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https://urait.ru/bcode/438985</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Рыбцова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Дудина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Гречухина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Усачева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Вороткова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978-5-534-05581-8.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https://urait.ru/bcode/441628</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Факторович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978-5-534-09829-7.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https://urait.ru/bcode/437502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44.27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2024-2025_ФГОС3++2024_Бак-ОФО-ПО(ИЯ)(24)_plx_Применение активных методов обучения на уроках в основной и старшей школе</dc:title>
  <dc:creator>FastReport.NET</dc:creator>
</cp:coreProperties>
</file>